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E8" w:rsidRPr="00E95FE8" w:rsidRDefault="00E95FE8" w:rsidP="00E95FE8">
      <w:pPr>
        <w:rPr>
          <w:b/>
          <w:bCs/>
        </w:rPr>
      </w:pPr>
      <w:r w:rsidRPr="00E95FE8">
        <w:rPr>
          <w:b/>
          <w:bCs/>
        </w:rPr>
        <w:t xml:space="preserve">Übersetzung, Lokalisierung, Imitation und Adaption: Aspekte der Comic-Komparatistik </w:t>
      </w:r>
    </w:p>
    <w:p w:rsidR="00E95FE8" w:rsidRDefault="00E95FE8">
      <w:r>
        <w:t>Jahrestagung 2019 der Gesellschaft für Comicforschung, Erika-Fuchs-Haus Schwarzenbach/Saale</w:t>
      </w:r>
    </w:p>
    <w:p w:rsidR="00F22F01" w:rsidRDefault="00F22F01">
      <w:r w:rsidRPr="00F22F01">
        <w:rPr>
          <w:noProof/>
          <w:lang w:eastAsia="de-DE"/>
        </w:rPr>
        <w:drawing>
          <wp:inline distT="0" distB="0" distL="0" distR="0">
            <wp:extent cx="2228767" cy="1250950"/>
            <wp:effectExtent l="0" t="0" r="635" b="6350"/>
            <wp:docPr id="2" name="Grafik 2" descr="C:\Users\HANSPE~1\AppData\Local\Temp\WP_20191108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NSPE~1\AppData\Local\Temp\WP_20191108_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3437" cy="1253571"/>
                    </a:xfrm>
                    <a:prstGeom prst="rect">
                      <a:avLst/>
                    </a:prstGeom>
                    <a:noFill/>
                    <a:ln>
                      <a:noFill/>
                    </a:ln>
                  </pic:spPr>
                </pic:pic>
              </a:graphicData>
            </a:graphic>
          </wp:inline>
        </w:drawing>
      </w:r>
      <w:bookmarkStart w:id="0" w:name="_GoBack"/>
      <w:r>
        <w:t>© HPR Einblick ins Museum: Comic-Bio Dr. Erika Fuchs</w:t>
      </w:r>
    </w:p>
    <w:bookmarkEnd w:id="0"/>
    <w:p w:rsidR="00E95FE8" w:rsidRDefault="00E95FE8">
      <w:r>
        <w:t>Ein wahrhaft weites Feld, wie schon das Thema der Jahrestagung andeutete, vom Programm</w:t>
      </w:r>
      <w:r w:rsidR="00B17426">
        <w:t xml:space="preserve"> dann</w:t>
      </w:r>
      <w:r>
        <w:t xml:space="preserve"> bestätigt. Alles in allem habe ich (bisher) </w:t>
      </w:r>
      <w:r w:rsidR="002337AD">
        <w:t xml:space="preserve">zehn </w:t>
      </w:r>
      <w:r>
        <w:t>Varianten der Komparatistik aus jenem Wochenende 08.-10. November identifiziert, hier konkret der Vergleichenden Literaturwissenschaft (plus Sprachwissenschaft naturgemäß!). Leser dieses Berichts wird allerdings primär interessieren, was aus dieser Vielfalt an Input und Impulsen internationaler Beiträger (Japan, USA, Israel … und vielerorts in Europa</w:t>
      </w:r>
      <w:r w:rsidR="00BB7624">
        <w:t>, siehe: Finnland</w:t>
      </w:r>
      <w:r>
        <w:t xml:space="preserve">) abzuleiten ist, mit Blick über den Tellerrand. Also zu </w:t>
      </w:r>
      <w:proofErr w:type="spellStart"/>
      <w:r>
        <w:t>kupfern</w:t>
      </w:r>
      <w:proofErr w:type="spellEnd"/>
      <w:r>
        <w:t xml:space="preserve">, ebenfalls eine Art der Adaption </w:t>
      </w:r>
      <w:r>
        <w:sym w:font="Wingdings" w:char="F04A"/>
      </w:r>
      <w:r>
        <w:t xml:space="preserve"> … Denn wie meist, lässt sich das Medium „Comic“ bestens als Modell auf „Weiterbildung“ übertragen, im Wirken („Didaktik“) wie in der Darstellung („Methodik“). Auch, weil hier Wort und Bild tatsächlich vereint rezipiert werden – und so Literatur und Kunst zusammen kommen…</w:t>
      </w:r>
    </w:p>
    <w:p w:rsidR="00D62BC7" w:rsidRDefault="00D62BC7">
      <w:r w:rsidRPr="00D62BC7">
        <w:rPr>
          <w:noProof/>
          <w:lang w:eastAsia="de-DE"/>
        </w:rPr>
        <w:drawing>
          <wp:inline distT="0" distB="0" distL="0" distR="0">
            <wp:extent cx="2113885" cy="1778000"/>
            <wp:effectExtent l="0" t="0" r="1270" b="0"/>
            <wp:docPr id="4" name="Grafik 4" descr="C:\Users\HANSPE~1\AppData\Local\Temp\WP_20191105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NSPE~1\AppData\Local\Temp\WP_20191105_001-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931" t="-1767" r="13230" b="6104"/>
                    <a:stretch/>
                  </pic:blipFill>
                  <pic:spPr bwMode="auto">
                    <a:xfrm>
                      <a:off x="0" y="0"/>
                      <a:ext cx="2127437" cy="1789399"/>
                    </a:xfrm>
                    <a:prstGeom prst="rect">
                      <a:avLst/>
                    </a:prstGeom>
                    <a:noFill/>
                    <a:ln>
                      <a:noFill/>
                    </a:ln>
                    <a:extLst>
                      <a:ext uri="{53640926-AAD7-44D8-BBD7-CCE9431645EC}">
                        <a14:shadowObscured xmlns:a14="http://schemas.microsoft.com/office/drawing/2010/main"/>
                      </a:ext>
                    </a:extLst>
                  </pic:spPr>
                </pic:pic>
              </a:graphicData>
            </a:graphic>
          </wp:inline>
        </w:drawing>
      </w:r>
      <w:r>
        <w:t>© Tagungs-Prospekt: Text &amp; Bild!</w:t>
      </w:r>
    </w:p>
    <w:p w:rsidR="009C5A84" w:rsidRDefault="00E95FE8">
      <w:r>
        <w:t xml:space="preserve">Was also war geboten, an </w:t>
      </w:r>
      <w:proofErr w:type="spellStart"/>
      <w:r w:rsidR="009C5A84" w:rsidRPr="00E95FE8">
        <w:rPr>
          <w:b/>
        </w:rPr>
        <w:t>Learnings</w:t>
      </w:r>
      <w:proofErr w:type="spellEnd"/>
      <w:r w:rsidR="009C5A84" w:rsidRPr="00E95FE8">
        <w:rPr>
          <w:b/>
        </w:rPr>
        <w:t xml:space="preserve"> für Weiterbildner</w:t>
      </w:r>
      <w:r w:rsidR="009C5A84">
        <w:t>? Diese jedenfalls:</w:t>
      </w:r>
    </w:p>
    <w:p w:rsidR="009C5A84" w:rsidRDefault="009C5A84" w:rsidP="009C5A84">
      <w:pPr>
        <w:pStyle w:val="Listenabsatz"/>
        <w:numPr>
          <w:ilvl w:val="0"/>
          <w:numId w:val="1"/>
        </w:numPr>
      </w:pPr>
      <w:r>
        <w:t>Visualisieren</w:t>
      </w:r>
      <w:r w:rsidR="006A08A8">
        <w:t xml:space="preserve"> &amp; illustrieren</w:t>
      </w:r>
    </w:p>
    <w:p w:rsidR="009C5A84" w:rsidRDefault="009C5A84" w:rsidP="009C5A84">
      <w:pPr>
        <w:pStyle w:val="Listenabsatz"/>
        <w:numPr>
          <w:ilvl w:val="0"/>
          <w:numId w:val="1"/>
        </w:numPr>
      </w:pPr>
      <w:r>
        <w:t>Transportieren</w:t>
      </w:r>
      <w:r w:rsidR="006A08A8">
        <w:t xml:space="preserve"> &amp; Transferieren</w:t>
      </w:r>
    </w:p>
    <w:p w:rsidR="009C5A84" w:rsidRDefault="006A08A8" w:rsidP="009C5A84">
      <w:pPr>
        <w:pStyle w:val="Listenabsatz"/>
        <w:numPr>
          <w:ilvl w:val="0"/>
          <w:numId w:val="1"/>
        </w:numPr>
      </w:pPr>
      <w:r>
        <w:t>Kombinieren &amp; verbinden.</w:t>
      </w:r>
    </w:p>
    <w:p w:rsidR="00E95FE8" w:rsidRDefault="007A59F7" w:rsidP="00E95FE8">
      <w:r>
        <w:t>Sie sehen: All das zahlt auf „aktivierende Lehr- und Lern-Methoden“ ein, wie sie Ihr GABAL e.V. im Visier hat! Wer etwa mit Theater-Elementen arbeitet bzw. strikt möglichst viele Sinne ins Format einbindet (</w:t>
      </w:r>
      <w:proofErr w:type="spellStart"/>
      <w:r>
        <w:t>Suggestopädie</w:t>
      </w:r>
      <w:proofErr w:type="spellEnd"/>
      <w:r>
        <w:t xml:space="preserve">!), wird schlicht nicken. Ansonsten mag er/sie sich angeregt fühlen, bei Comic-Künstlern und –Verlagen zu </w:t>
      </w:r>
      <w:proofErr w:type="spellStart"/>
      <w:r>
        <w:t>kupfern</w:t>
      </w:r>
      <w:proofErr w:type="spellEnd"/>
      <w:r>
        <w:t>:</w:t>
      </w:r>
    </w:p>
    <w:p w:rsidR="007A59F7" w:rsidRDefault="007A59F7" w:rsidP="007A59F7">
      <w:pPr>
        <w:pStyle w:val="Listenabsatz"/>
        <w:numPr>
          <w:ilvl w:val="0"/>
          <w:numId w:val="1"/>
        </w:numPr>
      </w:pPr>
      <w:r w:rsidRPr="00BB7624">
        <w:rPr>
          <w:u w:val="single"/>
        </w:rPr>
        <w:t xml:space="preserve">Textlich vermittelte Inhalte lassen sich </w:t>
      </w:r>
      <w:r w:rsidR="00BB7624" w:rsidRPr="00BB7624">
        <w:rPr>
          <w:u w:val="single"/>
        </w:rPr>
        <w:t>meist bestens</w:t>
      </w:r>
      <w:r w:rsidRPr="00BB7624">
        <w:rPr>
          <w:u w:val="single"/>
        </w:rPr>
        <w:t xml:space="preserve"> ins Bildliche übertragen</w:t>
      </w:r>
      <w:r>
        <w:t xml:space="preserve"> – und damit verbinden, wie das Genre des Grafischen Romans belegt (</w:t>
      </w:r>
      <w:proofErr w:type="spellStart"/>
      <w:r>
        <w:t>Graphic</w:t>
      </w:r>
      <w:proofErr w:type="spellEnd"/>
      <w:r>
        <w:t xml:space="preserve"> </w:t>
      </w:r>
      <w:proofErr w:type="spellStart"/>
      <w:r>
        <w:t>Novel</w:t>
      </w:r>
      <w:proofErr w:type="spellEnd"/>
      <w:r>
        <w:t xml:space="preserve">, G. </w:t>
      </w:r>
      <w:proofErr w:type="spellStart"/>
      <w:r>
        <w:t>Memoir</w:t>
      </w:r>
      <w:proofErr w:type="spellEnd"/>
      <w:r>
        <w:t xml:space="preserve"> etc.). Siehe etwa 1:1 übernommene Texte, wie sie </w:t>
      </w:r>
      <w:r w:rsidR="00286955">
        <w:t xml:space="preserve">David </w:t>
      </w:r>
      <w:proofErr w:type="spellStart"/>
      <w:r w:rsidR="00286955">
        <w:t>Zane</w:t>
      </w:r>
      <w:proofErr w:type="spellEnd"/>
      <w:r w:rsidR="00286955">
        <w:t xml:space="preserve"> </w:t>
      </w:r>
      <w:proofErr w:type="spellStart"/>
      <w:r w:rsidR="00286955">
        <w:t>Mairowitz</w:t>
      </w:r>
      <w:proofErr w:type="spellEnd"/>
      <w:r w:rsidR="00286955">
        <w:t xml:space="preserve"> („Kafka in </w:t>
      </w:r>
      <w:proofErr w:type="spellStart"/>
      <w:r w:rsidR="00286955">
        <w:t>KomiKs</w:t>
      </w:r>
      <w:proofErr w:type="spellEnd"/>
      <w:r w:rsidR="00286955">
        <w:t xml:space="preserve">“) </w:t>
      </w:r>
      <w:r>
        <w:t xml:space="preserve"> in seinen</w:t>
      </w:r>
      <w:r w:rsidR="00286955">
        <w:t xml:space="preserve"> </w:t>
      </w:r>
      <w:proofErr w:type="spellStart"/>
      <w:r w:rsidR="00286955">
        <w:t>Graphic</w:t>
      </w:r>
      <w:proofErr w:type="spellEnd"/>
      <w:r w:rsidR="00286955">
        <w:t xml:space="preserve"> Bios wörtlich zitiert</w:t>
      </w:r>
      <w:r>
        <w:t xml:space="preserve">. </w:t>
      </w:r>
      <w:r w:rsidR="00E11E0C">
        <w:t xml:space="preserve">Welche Bild-Elemente können Sie künftig </w:t>
      </w:r>
      <w:r w:rsidR="00286955">
        <w:t>sinnvoll einbauen, Ihre Botschaft (noch) leichter zu vermitteln</w:t>
      </w:r>
      <w:r w:rsidR="00E11E0C">
        <w:t>?</w:t>
      </w:r>
      <w:r w:rsidR="00286955">
        <w:t xml:space="preserve"> </w:t>
      </w:r>
      <w:r w:rsidR="009E6922">
        <w:t xml:space="preserve">Lynn L. Wolff diskutierte Nora </w:t>
      </w:r>
      <w:proofErr w:type="spellStart"/>
      <w:r w:rsidR="009E6922">
        <w:t>Krug´s</w:t>
      </w:r>
      <w:proofErr w:type="spellEnd"/>
      <w:r w:rsidR="009E6922">
        <w:t xml:space="preserve"> Heimat (geschrieben von einer Deutschen auf US-Amerikanisch, übersetzt dann ins Deutsche und viele weitere Sprachen) auch interkulturell: Das Nacherleben von Vorfahren in Nazi-</w:t>
      </w:r>
      <w:r w:rsidR="009E6922">
        <w:lastRenderedPageBreak/>
        <w:t xml:space="preserve">Deutschland und danach, mit Artefakten höchst unterschiedlicher Art, integriert in Text und Fotos… </w:t>
      </w:r>
      <w:r>
        <w:t xml:space="preserve">Und </w:t>
      </w:r>
      <w:r w:rsidR="009E6922">
        <w:t xml:space="preserve">dann </w:t>
      </w:r>
      <w:r>
        <w:t>natürlich die wunderbare Welt der Sprechblasen</w:t>
      </w:r>
      <w:r w:rsidR="009E6922">
        <w:t xml:space="preserve"> als Hort der Sprache im Bild, neben Kästen oder direkt integrierte Texte - </w:t>
      </w:r>
      <w:r>
        <w:t>plus …</w:t>
      </w:r>
    </w:p>
    <w:p w:rsidR="0068637E" w:rsidRPr="0068637E" w:rsidRDefault="0068637E" w:rsidP="0068637E">
      <w:pPr>
        <w:pStyle w:val="Listenabsatz"/>
      </w:pPr>
    </w:p>
    <w:p w:rsidR="007A59F7" w:rsidRDefault="007A59F7" w:rsidP="007A59F7">
      <w:pPr>
        <w:pStyle w:val="Listenabsatz"/>
        <w:numPr>
          <w:ilvl w:val="0"/>
          <w:numId w:val="1"/>
        </w:numPr>
      </w:pPr>
      <w:proofErr w:type="spellStart"/>
      <w:r w:rsidRPr="00BB7624">
        <w:rPr>
          <w:u w:val="single"/>
        </w:rPr>
        <w:t>Onos</w:t>
      </w:r>
      <w:proofErr w:type="spellEnd"/>
      <w:r w:rsidRPr="00BB7624">
        <w:rPr>
          <w:u w:val="single"/>
        </w:rPr>
        <w:t xml:space="preserve">, also die Wiedergabe onomatopoetischer Begriffe oder auch paralinguistischer Laute, </w:t>
      </w:r>
      <w:r>
        <w:t xml:space="preserve">die ins </w:t>
      </w:r>
      <w:r w:rsidR="00BB7624">
        <w:t>B</w:t>
      </w:r>
      <w:r>
        <w:t xml:space="preserve">ildtextliche übertragen werden (platsch, </w:t>
      </w:r>
      <w:proofErr w:type="spellStart"/>
      <w:r>
        <w:t>wooosh</w:t>
      </w:r>
      <w:proofErr w:type="spellEnd"/>
      <w:r>
        <w:t xml:space="preserve">, </w:t>
      </w:r>
      <w:r w:rsidR="0007457C">
        <w:t>peng …</w:t>
      </w:r>
      <w:r>
        <w:t>). Vor Ort übrigens bestens dokumentiert, im Erika-Fuchs-Museum, der studierten Germanistin und Meisterin deutschsprachiger Disney-Comics</w:t>
      </w:r>
      <w:r w:rsidR="0007457C">
        <w:t xml:space="preserve"> gewidmet</w:t>
      </w:r>
      <w:r>
        <w:t xml:space="preserve">: Der </w:t>
      </w:r>
      <w:proofErr w:type="spellStart"/>
      <w:r>
        <w:t>Erikativ</w:t>
      </w:r>
      <w:proofErr w:type="spellEnd"/>
      <w:r>
        <w:t>, mit dem der verkürzte Infinitiv Augen zwinkernd benannt wurde, siehe/höre „kreisch“, „spuck“, „würg“ etc. pp.</w:t>
      </w:r>
      <w:r w:rsidR="00732869">
        <w:t xml:space="preserve"> Übrigens gilt dieses Integrieren von Text im Bild (teils via bildhaftem Text, nämlich grafisch dargestellt) nachweislich auch anders herum, wichtig für Ihren Alltag: Ein Bild-Element allein zieht zwar das Auge an, kann das allerdings auch als Bremse wirken, die am Weiterlesen hindert. Wenn nämlich die Bild-Unterschrift fehlt, die dem Gehirn des Betrachters bestätigt: ja, genau das stellt das Bild dar! (Darf auch eine Bild-Überschrift sein, wenn etwa die Headline eines Absatzes tatsächlich (auch) direkt über dem Bild läuft.)</w:t>
      </w:r>
    </w:p>
    <w:p w:rsidR="0068637E" w:rsidRDefault="0068637E" w:rsidP="0068637E">
      <w:pPr>
        <w:pStyle w:val="Listenabsatz"/>
      </w:pPr>
    </w:p>
    <w:p w:rsidR="00835555" w:rsidRDefault="00003ADA" w:rsidP="00835555">
      <w:pPr>
        <w:pStyle w:val="Listenabsatz"/>
        <w:numPr>
          <w:ilvl w:val="0"/>
          <w:numId w:val="1"/>
        </w:numPr>
      </w:pPr>
      <w:r w:rsidRPr="00BB7624">
        <w:rPr>
          <w:u w:val="single"/>
        </w:rPr>
        <w:t>Comics erzählen Geschichten, sequenziell</w:t>
      </w:r>
      <w:r>
        <w:t xml:space="preserve"> = zwischen den Panels braucht es je eine Übertragungs-Leistung des Betrachters: Was ist wohl passiert, zwischen Situation A und Situation B? Bild und Text kombiniert triggern das entsprechende Weiterspinnen einer Handlung – optimal wofür? </w:t>
      </w:r>
      <w:proofErr w:type="spellStart"/>
      <w:r>
        <w:t>Jou</w:t>
      </w:r>
      <w:proofErr w:type="spellEnd"/>
      <w:r>
        <w:t xml:space="preserve">: </w:t>
      </w:r>
      <w:r w:rsidRPr="00BB7624">
        <w:rPr>
          <w:u w:val="single"/>
        </w:rPr>
        <w:t>Story-</w:t>
      </w:r>
      <w:proofErr w:type="spellStart"/>
      <w:r w:rsidRPr="00BB7624">
        <w:rPr>
          <w:u w:val="single"/>
        </w:rPr>
        <w:t>telling</w:t>
      </w:r>
      <w:proofErr w:type="spellEnd"/>
      <w:r>
        <w:t xml:space="preserve">! </w:t>
      </w:r>
      <w:r w:rsidR="0014639D">
        <w:t xml:space="preserve">Sei es in der Marketing-Kommunikation, sei es in Ihrer </w:t>
      </w:r>
      <w:r w:rsidR="00AC06E1">
        <w:t>Weiterbildungs-</w:t>
      </w:r>
      <w:r w:rsidR="0014639D">
        <w:t xml:space="preserve">Maßnahme (Seminar, Workshop, Slam …). </w:t>
      </w:r>
      <w:r w:rsidR="005C2792">
        <w:t xml:space="preserve">Zeichentrick, Animation und </w:t>
      </w:r>
      <w:proofErr w:type="spellStart"/>
      <w:r w:rsidR="005C2792">
        <w:t>Animé</w:t>
      </w:r>
      <w:proofErr w:type="spellEnd"/>
      <w:r w:rsidR="005C2792">
        <w:t xml:space="preserve"> (die japanische Form gezeichneter </w:t>
      </w:r>
      <w:proofErr w:type="spellStart"/>
      <w:r w:rsidR="005C2792">
        <w:t>Bewegtbilder</w:t>
      </w:r>
      <w:proofErr w:type="spellEnd"/>
      <w:r w:rsidR="005C2792">
        <w:t>, eng mit Manga verknüpft, den japanischen Comics</w:t>
      </w:r>
      <w:r w:rsidR="00A01C77">
        <w:t xml:space="preserve"> – Thema etwa bei Olga </w:t>
      </w:r>
      <w:proofErr w:type="spellStart"/>
      <w:r w:rsidR="00A01C77">
        <w:t>Kopylova</w:t>
      </w:r>
      <w:proofErr w:type="spellEnd"/>
      <w:r w:rsidR="00A01C77">
        <w:t xml:space="preserve"> „…</w:t>
      </w:r>
      <w:proofErr w:type="spellStart"/>
      <w:r w:rsidR="00A01C77">
        <w:t>manga</w:t>
      </w:r>
      <w:proofErr w:type="spellEnd"/>
      <w:r w:rsidR="00A01C77">
        <w:t>-</w:t>
      </w:r>
      <w:proofErr w:type="spellStart"/>
      <w:r w:rsidR="00A01C77">
        <w:t>to</w:t>
      </w:r>
      <w:proofErr w:type="spellEnd"/>
      <w:r w:rsidR="00A01C77">
        <w:t xml:space="preserve">-anime </w:t>
      </w:r>
      <w:proofErr w:type="spellStart"/>
      <w:r w:rsidR="00A01C77">
        <w:t>adaptios</w:t>
      </w:r>
      <w:proofErr w:type="spellEnd"/>
      <w:r w:rsidR="00A01C77">
        <w:t>“</w:t>
      </w:r>
      <w:r w:rsidR="005C2792">
        <w:t>).</w:t>
      </w:r>
      <w:r w:rsidR="0007457C">
        <w:t xml:space="preserve"> Und natürlich Klischees bedienend, die wir von klein auf gewohnt sind, aus Märchen, Mythen, Sagen, siehe die </w:t>
      </w:r>
      <w:r w:rsidR="00AC06E1">
        <w:t xml:space="preserve">alt- und </w:t>
      </w:r>
      <w:r w:rsidR="0007457C">
        <w:t>allbekannte Heldenreise als potenzielle Struktur für Ihre Storys! Mehr und mehr eben auch als Audio (Podcast!) oder Video (Clip oder Film), durchaus g</w:t>
      </w:r>
      <w:r w:rsidR="0014639D">
        <w:t>ezeichnet, siehe: Erklär-Videos, die wiederum beides sein können: Mikro-Lernein</w:t>
      </w:r>
      <w:r w:rsidR="00286955">
        <w:t>h</w:t>
      </w:r>
      <w:r w:rsidR="0014639D">
        <w:t>eit (Häppchen) und/oder Marketing-Idee</w:t>
      </w:r>
      <w:r w:rsidR="0007457C">
        <w:t>…</w:t>
      </w:r>
    </w:p>
    <w:p w:rsidR="00835555" w:rsidRDefault="00835555" w:rsidP="00835555">
      <w:r>
        <w:t xml:space="preserve">Auch das </w:t>
      </w:r>
      <w:proofErr w:type="spellStart"/>
      <w:r>
        <w:t>Blended</w:t>
      </w:r>
      <w:proofErr w:type="spellEnd"/>
      <w:r>
        <w:t xml:space="preserve">-Learning kam indirekt ins Spiel, beim Thema Web-Comics, dem Übertragen aus der Print-Welt in die digitale also, bei der das Lesen nun mal anders funktioniert (Scrollen, Klicken auf Link, Größe verändern, ggf. Wischen bei Touch-screen …). </w:t>
      </w:r>
      <w:r w:rsidR="007746CE">
        <w:t>Und natürlich wird Bewegen möglich, Verändern im Lesen…</w:t>
      </w:r>
      <w:r w:rsidR="00BD4D3B">
        <w:t xml:space="preserve"> Plus das Verbinden von analog (= Print) und digital (= Online), für statische Präsentationen, Audio und Video. Mithilfe unterschiedlicher Geräte, häufig schlicht: Smartphone.</w:t>
      </w:r>
    </w:p>
    <w:p w:rsidR="00F22F01" w:rsidRDefault="00DF1955" w:rsidP="00835555">
      <w:r w:rsidRPr="00DF1955">
        <w:rPr>
          <w:noProof/>
          <w:lang w:eastAsia="de-DE"/>
        </w:rPr>
        <w:drawing>
          <wp:inline distT="0" distB="0" distL="0" distR="0">
            <wp:extent cx="2432411" cy="1365250"/>
            <wp:effectExtent l="0" t="0" r="6350" b="6350"/>
            <wp:docPr id="3" name="Grafik 3" descr="C:\Users\HANSPE~1\AppData\Local\Temp\WP_2019111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NSPE~1\AppData\Local\Temp\WP_20191110_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387" cy="1368043"/>
                    </a:xfrm>
                    <a:prstGeom prst="rect">
                      <a:avLst/>
                    </a:prstGeom>
                    <a:noFill/>
                    <a:ln>
                      <a:noFill/>
                    </a:ln>
                  </pic:spPr>
                </pic:pic>
              </a:graphicData>
            </a:graphic>
          </wp:inline>
        </w:drawing>
      </w:r>
      <w:r>
        <w:t>© HPR Story-</w:t>
      </w:r>
      <w:proofErr w:type="spellStart"/>
      <w:r>
        <w:t>telling</w:t>
      </w:r>
      <w:proofErr w:type="spellEnd"/>
      <w:r>
        <w:t xml:space="preserve"> via Comic am Bahnhof Schwarzenbach</w:t>
      </w:r>
    </w:p>
    <w:p w:rsidR="009C5A84" w:rsidRDefault="009C5A84">
      <w:r>
        <w:t>Ausführlich und im Detail</w:t>
      </w:r>
      <w:r w:rsidR="00A11445">
        <w:t xml:space="preserve"> (zu allen erlebten Slots bei der Jahrestagung der </w:t>
      </w:r>
      <w:proofErr w:type="spellStart"/>
      <w:r w:rsidR="00A11445">
        <w:t>ComFor</w:t>
      </w:r>
      <w:proofErr w:type="spellEnd"/>
      <w:r w:rsidR="00E823FC">
        <w:t>, auch zu den Formaten sowie zur Mitglieder-Versammlung „eines etwas anderen Vereins“</w:t>
      </w:r>
      <w:r w:rsidR="00A11445">
        <w:t>)</w:t>
      </w:r>
      <w:r>
        <w:t xml:space="preserve"> </w:t>
      </w:r>
      <w:r w:rsidR="005E562A">
        <w:t xml:space="preserve">sowie zur Lokation und dem anregenden Umfeld in Schwarzenbach, interessante Impulse liefernd: </w:t>
      </w:r>
      <w:r>
        <w:t>siehe</w:t>
      </w:r>
      <w:r w:rsidR="00640663">
        <w:t xml:space="preserve"> auf</w:t>
      </w:r>
      <w:r>
        <w:t xml:space="preserve"> </w:t>
      </w:r>
      <w:hyperlink r:id="rId10" w:history="1">
        <w:r w:rsidRPr="006D2E82">
          <w:rPr>
            <w:rStyle w:val="Hyperlink"/>
          </w:rPr>
          <w:t>www.comicoskop.de</w:t>
        </w:r>
      </w:hyperlink>
      <w:r>
        <w:t xml:space="preserve">! </w:t>
      </w:r>
      <w:r w:rsidR="00640663">
        <w:t xml:space="preserve">(Oder beim Autor als </w:t>
      </w:r>
      <w:proofErr w:type="spellStart"/>
      <w:r w:rsidR="00640663">
        <w:t>pdf</w:t>
      </w:r>
      <w:proofErr w:type="spellEnd"/>
      <w:r w:rsidR="00640663">
        <w:t xml:space="preserve"> anfordern: </w:t>
      </w:r>
      <w:hyperlink r:id="rId11" w:history="1">
        <w:r w:rsidR="00AC06E1" w:rsidRPr="004F267E">
          <w:rPr>
            <w:rStyle w:val="Hyperlink"/>
          </w:rPr>
          <w:t>reiterbdw@aol.com</w:t>
        </w:r>
      </w:hyperlink>
      <w:r w:rsidR="00640663">
        <w:t>.)</w:t>
      </w:r>
    </w:p>
    <w:p w:rsidR="00AC06E1" w:rsidRDefault="00AC06E1">
      <w:r>
        <w:t xml:space="preserve">Weiterer nützlicher Link: </w:t>
      </w:r>
      <w:hyperlink r:id="rId12" w:history="1">
        <w:r w:rsidRPr="004F267E">
          <w:rPr>
            <w:rStyle w:val="Hyperlink"/>
          </w:rPr>
          <w:t>www.comicgesellschaft.de</w:t>
        </w:r>
      </w:hyperlink>
      <w:r>
        <w:t>, auch auf Facebook und Twitter zu finden.</w:t>
      </w:r>
    </w:p>
    <w:sectPr w:rsidR="00AC06E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23" w:rsidRDefault="00C66823" w:rsidP="00723CB1">
      <w:pPr>
        <w:spacing w:after="0" w:line="240" w:lineRule="auto"/>
      </w:pPr>
      <w:r>
        <w:separator/>
      </w:r>
    </w:p>
  </w:endnote>
  <w:endnote w:type="continuationSeparator" w:id="0">
    <w:p w:rsidR="00C66823" w:rsidRDefault="00C66823" w:rsidP="0072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Default="008B5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Default="008B5B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Default="008B5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23" w:rsidRDefault="00C66823" w:rsidP="00723CB1">
      <w:pPr>
        <w:spacing w:after="0" w:line="240" w:lineRule="auto"/>
      </w:pPr>
      <w:r>
        <w:separator/>
      </w:r>
    </w:p>
  </w:footnote>
  <w:footnote w:type="continuationSeparator" w:id="0">
    <w:p w:rsidR="00C66823" w:rsidRDefault="00C66823" w:rsidP="0072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Default="008B5B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Pr="00723CB1" w:rsidRDefault="00723CB1" w:rsidP="008B5B6C">
    <w:pPr>
      <w:pStyle w:val="Kopfzeile"/>
      <w:jc w:val="center"/>
      <w:rPr>
        <w:b/>
      </w:rPr>
    </w:pPr>
    <w:r w:rsidRPr="00723CB1">
      <w:rPr>
        <w:b/>
      </w:rPr>
      <w:t xml:space="preserve">GABAL-impulse: Berichte HPR * </w:t>
    </w:r>
    <w:proofErr w:type="spellStart"/>
    <w:r w:rsidR="009E7DDF">
      <w:rPr>
        <w:b/>
      </w:rPr>
      <w:t>ComFor</w:t>
    </w:r>
    <w:proofErr w:type="spellEnd"/>
    <w:r w:rsidR="009E7DDF">
      <w:rPr>
        <w:b/>
      </w:rPr>
      <w:t xml:space="preserve"> Jahrestagung 2019 Schwarzenbach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Default="008B5B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B3281"/>
    <w:multiLevelType w:val="hybridMultilevel"/>
    <w:tmpl w:val="42D6684E"/>
    <w:lvl w:ilvl="0" w:tplc="74009F72">
      <w:start w:val="1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18"/>
    <w:rsid w:val="00003ADA"/>
    <w:rsid w:val="0007457C"/>
    <w:rsid w:val="000F5AB5"/>
    <w:rsid w:val="0014639D"/>
    <w:rsid w:val="002337AD"/>
    <w:rsid w:val="00286955"/>
    <w:rsid w:val="003E1318"/>
    <w:rsid w:val="005C2792"/>
    <w:rsid w:val="005E562A"/>
    <w:rsid w:val="00640663"/>
    <w:rsid w:val="0068637E"/>
    <w:rsid w:val="006A08A8"/>
    <w:rsid w:val="00700A44"/>
    <w:rsid w:val="00723CB1"/>
    <w:rsid w:val="00732869"/>
    <w:rsid w:val="007746CE"/>
    <w:rsid w:val="007A59F7"/>
    <w:rsid w:val="00835555"/>
    <w:rsid w:val="00837589"/>
    <w:rsid w:val="00853566"/>
    <w:rsid w:val="008B5B6C"/>
    <w:rsid w:val="0092028E"/>
    <w:rsid w:val="009773EE"/>
    <w:rsid w:val="009C5A84"/>
    <w:rsid w:val="009E6922"/>
    <w:rsid w:val="009E7DDF"/>
    <w:rsid w:val="00A01C77"/>
    <w:rsid w:val="00A11445"/>
    <w:rsid w:val="00AC06E1"/>
    <w:rsid w:val="00AF6BAE"/>
    <w:rsid w:val="00B17426"/>
    <w:rsid w:val="00BB7624"/>
    <w:rsid w:val="00BC1F64"/>
    <w:rsid w:val="00BD4D3B"/>
    <w:rsid w:val="00C0558A"/>
    <w:rsid w:val="00C66823"/>
    <w:rsid w:val="00CC2378"/>
    <w:rsid w:val="00D62BC7"/>
    <w:rsid w:val="00DF1955"/>
    <w:rsid w:val="00E11E0C"/>
    <w:rsid w:val="00E823FC"/>
    <w:rsid w:val="00E95FE8"/>
    <w:rsid w:val="00F22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1D40-5050-4667-B888-A785F68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3C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3CB1"/>
  </w:style>
  <w:style w:type="paragraph" w:styleId="Fuzeile">
    <w:name w:val="footer"/>
    <w:basedOn w:val="Standard"/>
    <w:link w:val="FuzeileZchn"/>
    <w:uiPriority w:val="99"/>
    <w:unhideWhenUsed/>
    <w:rsid w:val="00723C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3CB1"/>
  </w:style>
  <w:style w:type="character" w:styleId="Hyperlink">
    <w:name w:val="Hyperlink"/>
    <w:basedOn w:val="Absatz-Standardschriftart"/>
    <w:uiPriority w:val="99"/>
    <w:unhideWhenUsed/>
    <w:rsid w:val="009C5A84"/>
    <w:rPr>
      <w:color w:val="0563C1" w:themeColor="hyperlink"/>
      <w:u w:val="single"/>
    </w:rPr>
  </w:style>
  <w:style w:type="paragraph" w:styleId="Listenabsatz">
    <w:name w:val="List Paragraph"/>
    <w:basedOn w:val="Standard"/>
    <w:uiPriority w:val="34"/>
    <w:qFormat/>
    <w:rsid w:val="009C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micgesellschaft.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iterbdw@ao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micoskop.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GABAL</cp:lastModifiedBy>
  <cp:revision>2</cp:revision>
  <dcterms:created xsi:type="dcterms:W3CDTF">2019-12-06T11:13:00Z</dcterms:created>
  <dcterms:modified xsi:type="dcterms:W3CDTF">2019-12-06T11:13:00Z</dcterms:modified>
</cp:coreProperties>
</file>